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24FB829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293851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9F989E5" w:rsidR="00A95A9B" w:rsidRDefault="00492F17" w:rsidP="00D22B27">
      <w:pPr>
        <w:autoSpaceDE w:val="0"/>
        <w:autoSpaceDN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92F17">
        <w:rPr>
          <w:rFonts w:ascii="Times New Roman" w:eastAsia="Calibri" w:hAnsi="Times New Roman" w:cs="Times New Roman"/>
          <w:lang w:eastAsia="ru-RU"/>
        </w:rPr>
        <w:t>Никифоров Анатолий Валерьевич (д.р./м.р.: 07.11.1983, г. Ленинск-Кузнецкий, Кемеровская обл., СНИЛС 075-761-774 04, ИНН 421208506264, адрес: 652523, Кемеровская обл., г. Ленинск-Кузнецкий, ул. Пирогова, д. 2, кв. 8)</w:t>
      </w:r>
      <w:r w:rsidR="00E31013" w:rsidRPr="00E31013">
        <w:rPr>
          <w:rFonts w:ascii="Times New Roman" w:eastAsia="Calibri" w:hAnsi="Times New Roman" w:cs="Times New Roman"/>
          <w:lang w:eastAsia="ru-RU"/>
        </w:rPr>
        <w:t xml:space="preserve"> </w:t>
      </w:r>
      <w:r w:rsidR="00D22B27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Pr="00492F17">
        <w:rPr>
          <w:rFonts w:ascii="Times New Roman" w:eastAsia="Calibri" w:hAnsi="Times New Roman" w:cs="Times New Roman"/>
          <w:lang w:eastAsia="ru-RU"/>
        </w:rPr>
        <w:t>Слесарев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92F17">
        <w:rPr>
          <w:rFonts w:ascii="Times New Roman" w:eastAsia="Calibri" w:hAnsi="Times New Roman" w:cs="Times New Roman"/>
          <w:lang w:eastAsia="ru-RU"/>
        </w:rPr>
        <w:t xml:space="preserve"> Кирилл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92F17">
        <w:rPr>
          <w:rFonts w:ascii="Times New Roman" w:eastAsia="Calibri" w:hAnsi="Times New Roman" w:cs="Times New Roman"/>
          <w:lang w:eastAsia="ru-RU"/>
        </w:rPr>
        <w:t xml:space="preserve"> Игоревич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492F17">
        <w:rPr>
          <w:rFonts w:ascii="Times New Roman" w:eastAsia="Calibri" w:hAnsi="Times New Roman" w:cs="Times New Roman"/>
          <w:lang w:eastAsia="ru-RU"/>
        </w:rPr>
        <w:t xml:space="preserve"> (ИНН 771319517511, СНИЛС 179-483-657 37; 119146, г. Москва, а/я 23) – СРО "ПАУ ЦФО" (ОГРН 1027700542209, ИНН 7705431418, 115191, г. Москва, Гамсоновский пер., д. 2, эт. 1, ком. 85), действующ</w:t>
      </w:r>
      <w:r>
        <w:rPr>
          <w:rFonts w:ascii="Times New Roman" w:eastAsia="Calibri" w:hAnsi="Times New Roman" w:cs="Times New Roman"/>
          <w:lang w:eastAsia="ru-RU"/>
        </w:rPr>
        <w:t>его</w:t>
      </w:r>
      <w:r w:rsidRPr="00492F17">
        <w:rPr>
          <w:rFonts w:ascii="Times New Roman" w:eastAsia="Calibri" w:hAnsi="Times New Roman" w:cs="Times New Roman"/>
          <w:lang w:eastAsia="ru-RU"/>
        </w:rPr>
        <w:t xml:space="preserve"> на основании Решения Арбитражного суда Кемеровской области от р.ч. 23.06.2025 г. по делу № А27-10915/2025</w:t>
      </w:r>
      <w:r w:rsidR="00E31013" w:rsidRPr="00492F17">
        <w:rPr>
          <w:rFonts w:ascii="Times New Roman" w:eastAsia="Calibri" w:hAnsi="Times New Roman" w:cs="Times New Roman"/>
          <w:lang w:eastAsia="ru-RU"/>
        </w:rPr>
        <w:t>,</w:t>
      </w:r>
      <w:r w:rsidR="00A95A9B" w:rsidRPr="00492F17">
        <w:rPr>
          <w:rFonts w:ascii="Times New Roman" w:eastAsia="Calibri" w:hAnsi="Times New Roman" w:cs="Times New Roman"/>
          <w:lang w:eastAsia="ru-RU"/>
        </w:rPr>
        <w:t xml:space="preserve"> именуемый</w:t>
      </w:r>
      <w:r w:rsidR="00A95A9B">
        <w:rPr>
          <w:rFonts w:ascii="Times New Roman" w:eastAsia="Calibri" w:hAnsi="Times New Roman" w:cs="Times New Roman"/>
          <w:lang w:eastAsia="ru-RU"/>
        </w:rPr>
        <w:t xml:space="preserve">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D22B27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4C8726E2" w14:textId="57CDF1FA" w:rsidR="00E31013" w:rsidRPr="00E8704F" w:rsidRDefault="00492F17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highlight w:val="yellow"/>
          <w:lang w:eastAsia="ru-RU"/>
        </w:rPr>
      </w:pPr>
      <w:r w:rsidRPr="00492F17">
        <w:rPr>
          <w:rFonts w:ascii="Times New Roman" w:eastAsia="Calibri" w:hAnsi="Times New Roman" w:cs="Times New Roman"/>
          <w:b/>
          <w:bCs/>
          <w:lang w:eastAsia="ru-RU"/>
        </w:rPr>
        <w:t>Квартира, общая площадь 51,1 кв.м., расположенная по адресу: Кемеровская область, г. Ленинск- Кузнецкий, ул. Пирогова, д.2, кв. 8, кадастровый номер: 42:26:0301001:5696</w:t>
      </w:r>
      <w:r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14:paraId="232BDD30" w14:textId="20CA5FA6" w:rsidR="00E31013" w:rsidRDefault="00E31013" w:rsidP="00D22B2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492F17">
        <w:rPr>
          <w:rFonts w:ascii="Times New Roman" w:eastAsia="Calibri" w:hAnsi="Times New Roman" w:cs="Times New Roman"/>
          <w:b/>
          <w:bCs/>
          <w:lang w:eastAsia="ru-RU"/>
        </w:rPr>
        <w:t xml:space="preserve">В залоге у </w:t>
      </w:r>
      <w:r w:rsidR="00492F17" w:rsidRPr="00492F17">
        <w:rPr>
          <w:rFonts w:ascii="Times New Roman" w:eastAsia="Calibri" w:hAnsi="Times New Roman" w:cs="Times New Roman"/>
          <w:b/>
          <w:bCs/>
          <w:lang w:eastAsia="ru-RU"/>
        </w:rPr>
        <w:t>ПАО «Совкомбанк»</w:t>
      </w:r>
      <w:r w:rsidRPr="00492F17"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14:paraId="4837B935" w14:textId="3078BE5E" w:rsidR="00A95A9B" w:rsidRDefault="00E31013" w:rsidP="00D22B2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31013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="00A95A9B"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D22B2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0FE99BE" w14:textId="599DA3F4" w:rsidR="00B27927" w:rsidRPr="00B27927" w:rsidRDefault="00B27927" w:rsidP="00D22B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</w:t>
      </w:r>
      <w:r w:rsidR="00E31013">
        <w:rPr>
          <w:rFonts w:ascii="Times New Roman" w:hAnsi="Times New Roman"/>
        </w:rPr>
        <w:t xml:space="preserve">имеются регистрационные записи об ипотеке в силу закона на ОБЪЕКТ, в пользу </w:t>
      </w:r>
      <w:r w:rsidR="00492F17" w:rsidRPr="00492F17">
        <w:rPr>
          <w:rFonts w:ascii="Times New Roman" w:hAnsi="Times New Roman"/>
        </w:rPr>
        <w:t>ПАО «Совкомбанк»</w:t>
      </w:r>
      <w:r w:rsidR="00492F17">
        <w:rPr>
          <w:rFonts w:ascii="Times New Roman" w:hAnsi="Times New Roman"/>
        </w:rPr>
        <w:t xml:space="preserve">. </w:t>
      </w:r>
      <w:r w:rsidR="00E31013">
        <w:rPr>
          <w:rFonts w:ascii="Times New Roman" w:hAnsi="Times New Roman"/>
        </w:rPr>
        <w:t xml:space="preserve">Залог в силу закона на ОБЪЕКТ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</w:t>
      </w:r>
      <w:r w:rsidR="00492F17" w:rsidRPr="00492F17">
        <w:rPr>
          <w:rFonts w:ascii="Times New Roman" w:hAnsi="Times New Roman"/>
        </w:rPr>
        <w:t>ПАО «Совкомбанк»</w:t>
      </w:r>
      <w:r w:rsidR="00492F17">
        <w:rPr>
          <w:rFonts w:ascii="Times New Roman" w:hAnsi="Times New Roman"/>
        </w:rPr>
        <w:t>.</w:t>
      </w:r>
    </w:p>
    <w:p w14:paraId="325CE877" w14:textId="77777777" w:rsidR="00B27927" w:rsidRPr="00B27927" w:rsidRDefault="00B27927" w:rsidP="00D22B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1.3.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314ED9EC" w14:textId="77777777" w:rsidR="00B27927" w:rsidRPr="00B27927" w:rsidRDefault="00B27927" w:rsidP="00D22B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90B1185" w14:textId="77777777" w:rsidR="00B27927" w:rsidRPr="00B27927" w:rsidRDefault="00B27927" w:rsidP="00D22B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77777777" w:rsidR="00B27927" w:rsidRPr="00B27927" w:rsidRDefault="00B27927" w:rsidP="00D22B2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7927">
        <w:rPr>
          <w:rFonts w:ascii="Times New Roman" w:eastAsia="Times New Roman" w:hAnsi="Times New Roman"/>
          <w:lang w:eastAsia="zh-CN"/>
        </w:rPr>
        <w:lastRenderedPageBreak/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04A01C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5F81C2F4" w14:textId="525B604E" w:rsidR="00186C37" w:rsidRPr="00186C37" w:rsidRDefault="00A95A9B" w:rsidP="00D22B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>ридцати) дней с момента подписания настоящего Договора по реквизитам: Получатель:</w:t>
      </w:r>
      <w:r>
        <w:rPr>
          <w:rFonts w:ascii="Times New Roman" w:eastAsia="Calibri" w:hAnsi="Times New Roman" w:cs="Times New Roman"/>
        </w:rPr>
        <w:t xml:space="preserve"> </w:t>
      </w:r>
      <w:r w:rsidR="00186C37" w:rsidRPr="00186C37">
        <w:rPr>
          <w:rFonts w:ascii="Times New Roman" w:eastAsia="Calibri" w:hAnsi="Times New Roman" w:cs="Times New Roman"/>
        </w:rPr>
        <w:t> </w:t>
      </w:r>
      <w:r w:rsidR="00492F17" w:rsidRPr="00492F17">
        <w:rPr>
          <w:rFonts w:ascii="Times New Roman" w:eastAsia="Calibri" w:hAnsi="Times New Roman" w:cs="Times New Roman"/>
        </w:rPr>
        <w:t>Никифоров Анатолий Валерьевич, р/с: 40817810750207215662</w:t>
      </w:r>
      <w:r w:rsidR="00186C37" w:rsidRPr="00186C37">
        <w:rPr>
          <w:rFonts w:ascii="Times New Roman" w:eastAsia="Calibri" w:hAnsi="Times New Roman" w:cs="Times New Roman"/>
        </w:rPr>
        <w:t>, открыт в Филиале "ЦЕНТРАЛЬНЫЙ" ПАО "СОВКОМБАНК"</w:t>
      </w:r>
      <w:r w:rsidR="00186C37" w:rsidRPr="00186C37">
        <w:rPr>
          <w:rFonts w:ascii="Times New Roman" w:eastAsia="Calibri" w:hAnsi="Times New Roman" w:cs="Times New Roman"/>
        </w:rPr>
        <w:br/>
        <w:t>633011, РОССИЙСКАЯ ФЕДЕРАЦИЯ, НОВОСИБИРСКАЯ ОБЛ,</w:t>
      </w:r>
      <w:r w:rsidR="00186C37" w:rsidRPr="00186C37">
        <w:rPr>
          <w:rFonts w:ascii="Times New Roman" w:eastAsia="Calibri" w:hAnsi="Times New Roman" w:cs="Times New Roman"/>
        </w:rPr>
        <w:br/>
        <w:t>БЕРДСК Г, ПОПОВА УЛ, 11, к/с: 30101810150040000763, БИК: 045004763.</w:t>
      </w:r>
    </w:p>
    <w:p w14:paraId="7294FFBC" w14:textId="5F6B99D1" w:rsidR="00A95A9B" w:rsidRDefault="00A95A9B" w:rsidP="00D22B2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1FB11ECF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2.5. Обязанность Покупателя по оплате Имущества считается исполненной с момента зачисления на счет Продавца суммы, указанной в п. 2.</w:t>
      </w:r>
      <w:r w:rsidR="00B910E4">
        <w:rPr>
          <w:rFonts w:ascii="Times New Roman" w:eastAsia="Calibri" w:hAnsi="Times New Roman" w:cs="Times New Roman"/>
          <w:lang w:eastAsia="ru-RU"/>
        </w:rPr>
        <w:t>3</w:t>
      </w:r>
      <w:r>
        <w:rPr>
          <w:rFonts w:ascii="Times New Roman" w:eastAsia="Calibri" w:hAnsi="Times New Roman" w:cs="Times New Roman"/>
          <w:lang w:eastAsia="ru-RU"/>
        </w:rPr>
        <w:t xml:space="preserve">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D22B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5.2. Стороны договорились, что непоступление денежных средств в счет оплаты Имущества в сумме и срок, указанный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D22B2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D22B27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D22B27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D22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:rsidRPr="00D22B2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0D017C18" w:rsidR="00FC2738" w:rsidRPr="00D22B2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B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Финансовый управляющий </w:t>
            </w:r>
            <w:r w:rsidR="00492F17" w:rsidRPr="00492F17">
              <w:rPr>
                <w:rFonts w:ascii="Times New Roman" w:eastAsia="Calibri" w:hAnsi="Times New Roman" w:cs="Times New Roman"/>
                <w:sz w:val="20"/>
                <w:szCs w:val="20"/>
              </w:rPr>
              <w:t>Слесарев</w:t>
            </w:r>
            <w:r w:rsidR="00492F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К.И.</w:t>
            </w:r>
          </w:p>
          <w:p w14:paraId="44837072" w14:textId="701CF845" w:rsidR="007D7E4D" w:rsidRPr="00D22B2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B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Должник: </w:t>
            </w:r>
            <w:r w:rsidR="00492F17" w:rsidRPr="00492F17">
              <w:rPr>
                <w:rFonts w:ascii="Times New Roman" w:eastAsia="Calibri" w:hAnsi="Times New Roman" w:cs="Times New Roman"/>
                <w:sz w:val="20"/>
                <w:szCs w:val="20"/>
              </w:rPr>
              <w:t>Никифоров Анатолий Валерьевич (д.р./м.р.: 07.11.1983, г. Ленинск-Кузнецкий, Кемеровская обл., СНИЛС 075-761-774 04, ИНН 421208506264, адрес: 652523, Кемеровская обл., г. Ленинск-Кузнецкий, ул. Пирогова, д. 2, кв. 8)</w:t>
            </w:r>
          </w:p>
          <w:p w14:paraId="62E3D9F4" w14:textId="77777777" w:rsidR="00D22B27" w:rsidRPr="00D22B27" w:rsidRDefault="00D22B2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BFF822C" w14:textId="7A53B20A" w:rsidR="00186C37" w:rsidRPr="00D22B27" w:rsidRDefault="007E5948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B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Получатель: </w:t>
            </w:r>
            <w:r w:rsidR="00492F17" w:rsidRPr="00492F17">
              <w:rPr>
                <w:rFonts w:ascii="Times New Roman" w:eastAsia="Calibri" w:hAnsi="Times New Roman" w:cs="Times New Roman"/>
                <w:sz w:val="20"/>
                <w:szCs w:val="20"/>
              </w:rPr>
              <w:t>Никифоров Анатолий Валерьевич, р/с: 40817810750207215662</w:t>
            </w:r>
            <w:r w:rsidR="00186C37" w:rsidRPr="00492F1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186C37" w:rsidRPr="00D22B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открыт в Филиале "ЦЕНТРАЛЬНЫЙ" ПАО "СОВКОМБАНК"</w:t>
            </w:r>
          </w:p>
          <w:p w14:paraId="1431D915" w14:textId="77777777" w:rsidR="00186C37" w:rsidRPr="00D22B2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B27">
              <w:rPr>
                <w:rFonts w:ascii="Times New Roman" w:eastAsia="Calibri" w:hAnsi="Times New Roman" w:cs="Times New Roman"/>
                <w:sz w:val="20"/>
                <w:szCs w:val="20"/>
              </w:rPr>
              <w:t>633011, РОССИЙСКАЯ ФЕДЕРАЦИЯ, НОВОСИБИРСКАЯ ОБЛ,</w:t>
            </w:r>
          </w:p>
          <w:p w14:paraId="52EB2E14" w14:textId="5761C149" w:rsidR="00BC5094" w:rsidRPr="00D22B2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B27">
              <w:rPr>
                <w:rFonts w:ascii="Times New Roman" w:eastAsia="Calibri" w:hAnsi="Times New Roman" w:cs="Times New Roman"/>
                <w:sz w:val="20"/>
                <w:szCs w:val="20"/>
              </w:rPr>
              <w:t>БЕРДСК Г, ПОПОВА УЛ, 11, к/с: 30101810150040000763, БИК: 045004763.</w:t>
            </w:r>
          </w:p>
          <w:p w14:paraId="21566707" w14:textId="3FEDD5AA" w:rsidR="00A95A9B" w:rsidRPr="00D22B27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B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22B27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________________________</w:t>
            </w:r>
            <w:r w:rsidR="00FC2738" w:rsidRPr="00D22B27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D22B27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Pr="00D22B27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/ </w:t>
            </w:r>
            <w:r w:rsidR="00492F17" w:rsidRPr="00492F17">
              <w:rPr>
                <w:rFonts w:ascii="Times New Roman" w:eastAsia="Calibri" w:hAnsi="Times New Roman" w:cs="Times New Roman"/>
                <w:sz w:val="20"/>
                <w:szCs w:val="20"/>
              </w:rPr>
              <w:t>Слесарев К.И</w:t>
            </w:r>
            <w:r w:rsidR="007D7E4D" w:rsidRPr="00D22B2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D22B27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14:paraId="100564F7" w14:textId="12F6CE56" w:rsidR="00FC2738" w:rsidRPr="00D22B2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D22B27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5C35E695" w14:textId="77777777" w:rsidR="000E5827" w:rsidRDefault="00492F17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3D32" w14:textId="77777777" w:rsidR="006B69D9" w:rsidRDefault="006B69D9" w:rsidP="004E1A9E">
      <w:pPr>
        <w:spacing w:after="0" w:line="240" w:lineRule="auto"/>
      </w:pPr>
      <w:r>
        <w:separator/>
      </w:r>
    </w:p>
  </w:endnote>
  <w:endnote w:type="continuationSeparator" w:id="0">
    <w:p w14:paraId="2078AEB3" w14:textId="77777777" w:rsidR="006B69D9" w:rsidRDefault="006B69D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96A" w14:textId="77777777" w:rsidR="006B69D9" w:rsidRDefault="006B69D9" w:rsidP="004E1A9E">
      <w:pPr>
        <w:spacing w:after="0" w:line="240" w:lineRule="auto"/>
      </w:pPr>
      <w:r>
        <w:separator/>
      </w:r>
    </w:p>
  </w:footnote>
  <w:footnote w:type="continuationSeparator" w:id="0">
    <w:p w14:paraId="4F6CA8FA" w14:textId="77777777" w:rsidR="006B69D9" w:rsidRDefault="006B69D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1128D"/>
    <w:rsid w:val="00293851"/>
    <w:rsid w:val="002D77F1"/>
    <w:rsid w:val="002F2359"/>
    <w:rsid w:val="002F2B88"/>
    <w:rsid w:val="003358F0"/>
    <w:rsid w:val="003A6E68"/>
    <w:rsid w:val="003B5B9F"/>
    <w:rsid w:val="004640E0"/>
    <w:rsid w:val="00484FD0"/>
    <w:rsid w:val="00492F17"/>
    <w:rsid w:val="004E1A9E"/>
    <w:rsid w:val="00581D6B"/>
    <w:rsid w:val="006A69E9"/>
    <w:rsid w:val="006B69D9"/>
    <w:rsid w:val="006D5479"/>
    <w:rsid w:val="007D7E4D"/>
    <w:rsid w:val="007E5948"/>
    <w:rsid w:val="00827FED"/>
    <w:rsid w:val="009E133A"/>
    <w:rsid w:val="00A91033"/>
    <w:rsid w:val="00A95A9B"/>
    <w:rsid w:val="00B27927"/>
    <w:rsid w:val="00B910E4"/>
    <w:rsid w:val="00BC5094"/>
    <w:rsid w:val="00D162FB"/>
    <w:rsid w:val="00D22B27"/>
    <w:rsid w:val="00DB7B72"/>
    <w:rsid w:val="00E31013"/>
    <w:rsid w:val="00E56539"/>
    <w:rsid w:val="00E8704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Глаголев Иван Вячеславович</cp:lastModifiedBy>
  <cp:revision>27</cp:revision>
  <dcterms:created xsi:type="dcterms:W3CDTF">2022-06-14T11:54:00Z</dcterms:created>
  <dcterms:modified xsi:type="dcterms:W3CDTF">2025-11-24T15:18:00Z</dcterms:modified>
</cp:coreProperties>
</file>